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Liechtenstein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Liechtenstein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Liechtenstein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Liechtenstein shall now face war with God’s realm.</w:t>
      </w:r>
      <w:r>
        <w:rPr>
          <w:sz w:val="21"/>
          <w:szCs w:val="21"/>
        </w:rPr>
        <w:t xml:space="preserve"> All diplomatic relations and peace accords with Liechtenstein are </w:t>
      </w:r>
      <w:r>
        <w:rPr>
          <w:b/>
          <w:sz w:val="21"/>
          <w:szCs w:val="21"/>
        </w:rPr>
        <w:t>terminated effective immediately</w:t>
      </w:r>
      <w:r>
        <w:rPr>
          <w:sz w:val="21"/>
          <w:szCs w:val="21"/>
        </w:rPr>
        <w:t xml:space="preserve">. Any treaties or agreements between the Unified State (acting for the Divine Authority) and Liechtenstein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Liechtenstein’s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Liechtenstein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Liechtenstein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Liechtenstein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Liechtenstein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Liechtenstein’s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Liechtenstein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Liechtenstein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